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最新人大代表作述职和感想</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人大代表作述职和感想一20xx年人大代表建议、政协委员提案办理工作方案认真办理人大代表建议、政协委员提案，是各级部门接受人民群众监督的法定要求，也是各级部门义不容辞的重要职责。为切实做好经开区20xx年人大代表建议、政协委员提案的办理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最新人大代表作述职和感想一</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最新人大代表作述职和感想二</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最新人大代表作述职和感想四</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最新人大代表作述职和感想五</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 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最新人大代表作述职和感想七</w:t>
      </w:r>
    </w:p>
    <w:p>
      <w:pPr>
        <w:ind w:left="0" w:right="0" w:firstLine="560"/>
        <w:spacing w:before="450" w:after="450" w:line="312" w:lineRule="auto"/>
      </w:pPr>
      <w:r>
        <w:rPr>
          <w:rFonts w:ascii="宋体" w:hAnsi="宋体" w:eastAsia="宋体" w:cs="宋体"/>
          <w:color w:val="000"/>
          <w:sz w:val="28"/>
          <w:szCs w:val="28"/>
        </w:rPr>
        <w:t xml:space="preserve">泸溪县浦市经开区管委会</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最新人大代表作述职和感想八</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最新人大代表作述职和感想九</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4"/>
          <w:szCs w:val="34"/>
          <w:b w:val="1"/>
          <w:bCs w:val="1"/>
        </w:rPr>
        <w:t xml:space="preserve">最新人大代表作述职和感想十一</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最新人大代表作述职和感想十二</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最新人大代表作述职和感想十三</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2025-06-18T02:52:20+08:00</dcterms:created>
  <dcterms:modified xsi:type="dcterms:W3CDTF">2025-06-18T02:52:20+08:00</dcterms:modified>
</cp:coreProperties>
</file>

<file path=docProps/custom.xml><?xml version="1.0" encoding="utf-8"?>
<Properties xmlns="http://schemas.openxmlformats.org/officeDocument/2006/custom-properties" xmlns:vt="http://schemas.openxmlformats.org/officeDocument/2006/docPropsVTypes"/>
</file>