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关于2025年政治生态建设自查情况的报告</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 为深入贯彻落实党的十九大提出的全面净化党内政治生态要求,各地全面落实从严治党责任,进一步推进党风廉政建设,不断优化政治生态,以下是本站小编为大家带来的关于关于2023年政治生态建设自查情况的报告，以供大家参考!　　关于2023年政治生态...</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各地全面落实从严治党责任,进一步推进党风廉政建设,不断优化政治生态,以下是本站小编为大家带来的关于关于2025年政治生态建设自查情况的报告，以供大家参考![_TAG_h2]　　关于2025年政治生态建设自查情况的报告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　　关于2025年政治生态建设自查情况的报告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一、政治生态建设基本情况</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&gt;　　二、政治生态建设方面存在的突出问题</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&gt;　　三、修复和净化政治生态建设突出问题的措施</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关于2025年政治生态建设自查情况的报告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