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“营改增”政策下的企业增值税筹划</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2012 年实施营改增税制改革试点以来，目前交通运输业、邮政业和电信业及现代服务业已纳入增值税征税范围，它们提供的劳务不再缴纳营业税。营改增之前，交通运输业、邮政业和电信业及现代服务业的税率相对比较低，分别为3%和5%，营改增后税率都不同...</w:t>
      </w:r>
    </w:p>
    <w:p>
      <w:pPr>
        <w:ind w:left="0" w:right="0" w:firstLine="560"/>
        <w:spacing w:before="450" w:after="450" w:line="312" w:lineRule="auto"/>
      </w:pPr>
      <w:r>
        <w:rPr>
          <w:rFonts w:ascii="宋体" w:hAnsi="宋体" w:eastAsia="宋体" w:cs="宋体"/>
          <w:color w:val="000"/>
          <w:sz w:val="28"/>
          <w:szCs w:val="28"/>
        </w:rPr>
        <w:t xml:space="preserve">2012 年实施营改增税制改革试点以来，目前交通运输业、邮政业和电信业及现代服务业已纳入增值税征税范围，它们提供的劳务不再缴纳营业税。营改增之前，交通运输业、邮政业和电信业及现代服务业的税率相对比较低，分别为3%和5%，营改增后税率都不同程度的提高，交通运输业和邮政业为11%，电信基础业务税率 11%，电信增值业务税率6%，现代服务业税率6%，其中现代服务业中的有形动产租赁服务税率为 17%。增值税征税范围的扩大和税率的多样化也为企业税收筹划提供了空间。</w:t>
      </w:r>
    </w:p>
    <w:p>
      <w:pPr>
        <w:ind w:left="0" w:right="0" w:firstLine="560"/>
        <w:spacing w:before="450" w:after="450" w:line="312" w:lineRule="auto"/>
      </w:pPr>
      <w:r>
        <w:rPr>
          <w:rFonts w:ascii="宋体" w:hAnsi="宋体" w:eastAsia="宋体" w:cs="宋体"/>
          <w:color w:val="000"/>
          <w:sz w:val="28"/>
          <w:szCs w:val="28"/>
        </w:rPr>
        <w:t xml:space="preserve">一、营改增后企业增值税筹划的需求分析</w:t>
      </w:r>
    </w:p>
    <w:p>
      <w:pPr>
        <w:ind w:left="0" w:right="0" w:firstLine="560"/>
        <w:spacing w:before="450" w:after="450" w:line="312" w:lineRule="auto"/>
      </w:pPr>
      <w:r>
        <w:rPr>
          <w:rFonts w:ascii="宋体" w:hAnsi="宋体" w:eastAsia="宋体" w:cs="宋体"/>
          <w:color w:val="000"/>
          <w:sz w:val="28"/>
          <w:szCs w:val="28"/>
        </w:rPr>
        <w:t xml:space="preserve">(一) 营改增企业需要通过筹划来降低纳税风险营改增</w:t>
      </w:r>
    </w:p>
    <w:p>
      <w:pPr>
        <w:ind w:left="0" w:right="0" w:firstLine="560"/>
        <w:spacing w:before="450" w:after="450" w:line="312" w:lineRule="auto"/>
      </w:pPr>
      <w:r>
        <w:rPr>
          <w:rFonts w:ascii="宋体" w:hAnsi="宋体" w:eastAsia="宋体" w:cs="宋体"/>
          <w:color w:val="000"/>
          <w:sz w:val="28"/>
          <w:szCs w:val="28"/>
        </w:rPr>
        <w:t xml:space="preserve">从部分省份、部分行业试点开始，按照计划，截至2015 年底营业税所有行业彻底改征增值税。在营改增的过程中，相关税收政策实施方案也在不断出台。作为营改增的企业在实现纳税人身份转变后，必须要做到依法纳税，才能实现涉税零风险。而依法纳税的前提是营改增纳税人必须熟悉并正确掌握现行的税法。然而营改增纳税人并不能够及时全面地掌握当前的税法政策，短时间内很难熟练掌握并灵活运用营改增的相关政策、纳税申报程序，这必然会导致营改增企业无法按照国家现行税法规定正确抵扣进项税额、开具增值税专用发票、按时缴纳税额、履行纳税义务等问题。这些非主观故意的偷税、漏税，延迟纳税情况的出现会极大增加企业的纳税风险，进而对企业的经营产生重要影响。因此，作为营改增企业急需进行税收筹划，要加大对会计人员的培训，尽快熟知现行增值税法，并按照增值税法要求设账、记账，全面及时了解掌握营改增的相关政策和纳税申报程序，增值税纳税申报表填写，不断提高企业增值税纳税能力，在此基础上合理安排企业纳税活动，在正确履行纳税义务的同时，还能获得节税收益。</w:t>
      </w:r>
    </w:p>
    <w:p>
      <w:pPr>
        <w:ind w:left="0" w:right="0" w:firstLine="560"/>
        <w:spacing w:before="450" w:after="450" w:line="312" w:lineRule="auto"/>
      </w:pPr>
      <w:r>
        <w:rPr>
          <w:rFonts w:ascii="宋体" w:hAnsi="宋体" w:eastAsia="宋体" w:cs="宋体"/>
          <w:color w:val="000"/>
          <w:sz w:val="28"/>
          <w:szCs w:val="28"/>
        </w:rPr>
        <w:t xml:space="preserve">( 二) 营改增企业需要通过筹划来降低税收负担</w:t>
      </w:r>
    </w:p>
    <w:p>
      <w:pPr>
        <w:ind w:left="0" w:right="0" w:firstLine="560"/>
        <w:spacing w:before="450" w:after="450" w:line="312" w:lineRule="auto"/>
      </w:pPr>
      <w:r>
        <w:rPr>
          <w:rFonts w:ascii="宋体" w:hAnsi="宋体" w:eastAsia="宋体" w:cs="宋体"/>
          <w:color w:val="000"/>
          <w:sz w:val="28"/>
          <w:szCs w:val="28"/>
        </w:rPr>
        <w:t xml:space="preserve">营改增税制改革之后，对于原有的增值税一般纳税人来说，税负总体是下降的，因为原有增值税纳税人企业在营改增之前，所购买的各类营业税劳务都只能取得营业税发票，进项税都不可抵扣，营改增后，原有增值税纳税人就可以取得增值税专用发票，进项税大都可以抵扣，所以，税负普遍下降。但对于营改增的一般纳税人企业而言，税率却是普遍上升的。由于增值税实行进项税抵扣制度，营改增一般纳税人企业税负的高低就取决于可抵扣的进项。现有文献研究表明，交通运输业一般纳税人企业税负上升较多，原因是交通运输业一般纳税人企业在营改增之前大部分都已购置了运输工具和设备，导致当前可抵扣进项税额小，再加上高速公路收费无法获取增值税发票及部分加油站使用普通发票等。而其他行业营改增一般纳税人企业也会不同程度出现进项抵扣较少，导致税负上升的问题。营改增的小规模纳税人企业由于是按照 3% 的征收率来征收增值税，相比营改增之前，税率都普遍下降，加上增值税是价外税，营业额要进行转换，税负就会进一步降低。因此，营改增一般纳税人企业税负的上升就会推动这些企业产生主动通过税收筹划安排，合理安排企业的经营活动和纳税行为来减轻税收负担的需求。</w:t>
      </w:r>
    </w:p>
    <w:p>
      <w:pPr>
        <w:ind w:left="0" w:right="0" w:firstLine="560"/>
        <w:spacing w:before="450" w:after="450" w:line="312" w:lineRule="auto"/>
      </w:pPr>
      <w:r>
        <w:rPr>
          <w:rFonts w:ascii="宋体" w:hAnsi="宋体" w:eastAsia="宋体" w:cs="宋体"/>
          <w:color w:val="000"/>
          <w:sz w:val="28"/>
          <w:szCs w:val="28"/>
        </w:rPr>
        <w:t xml:space="preserve">二、营改增后企业增值税筹划策略分析</w:t>
      </w:r>
    </w:p>
    <w:p>
      <w:pPr>
        <w:ind w:left="0" w:right="0" w:firstLine="560"/>
        <w:spacing w:before="450" w:after="450" w:line="312" w:lineRule="auto"/>
      </w:pPr>
      <w:r>
        <w:rPr>
          <w:rFonts w:ascii="宋体" w:hAnsi="宋体" w:eastAsia="宋体" w:cs="宋体"/>
          <w:color w:val="000"/>
          <w:sz w:val="28"/>
          <w:szCs w:val="28"/>
        </w:rPr>
        <w:t xml:space="preserve">一般劳务销售情况下的纳税人身份选择筹划分析增值税纳税人分为一般纳税人和小规模纳税人，前者实行当期进项税额抵扣当期销项税额制度，余额为增值税应纳税额，后者实行简易办法征收，不存在进项税额抵扣。那么从节税的角度来说，企业如何对纳税人身份进行选择呢? 本文将从营改增企业可抵扣进项税额角度来给出筹划依据，尤其是营改增一般纳税人企业进项抵扣少的情况下，特别需要通过纳税人身份选择来达到降低税负的目的。一般来说，作为小规模纳税人增值税实行简易办法征收，不存在进项税额抵扣问题，因此在劳务销售额一定的情况下，其应纳税额是固定值;作为一般纳税人，劳务销售额一定的情况下，可抵扣的进项税额越多，意味着应纳税额越少，或者说抵扣率越高，应缴增值税款越少。</w:t>
      </w:r>
    </w:p>
    <w:p>
      <w:pPr>
        <w:ind w:left="0" w:right="0" w:firstLine="560"/>
        <w:spacing w:before="450" w:after="450" w:line="312" w:lineRule="auto"/>
      </w:pPr>
      <w:r>
        <w:rPr>
          <w:rFonts w:ascii="宋体" w:hAnsi="宋体" w:eastAsia="宋体" w:cs="宋体"/>
          <w:color w:val="000"/>
          <w:sz w:val="28"/>
          <w:szCs w:val="28"/>
        </w:rPr>
        <w:t xml:space="preserve">营改增一般纳税人企业有劳务的销售，一般也都会有劳务或者货物的购进，作为劳务或者货物购进的一般纳税人企业，是选择一般纳税人作为劳务的采购对象还是选择小规模纳税人作为劳务的采购对象呢? 我们知道，如果选择一般纳税人作为采购对象，企业可以直接取得劳务的增值税专用发票;如果选择小规模纳税人作为采购对象，则只能取得税务局代开的按照小规模纳税人税率计征的劳务增值税发票，或者取得普通发票，而取得普通发票是不能抵扣进项的。从进项税抵扣的角度来说，在劳务销售额一定的情况下，选择一般纳税人作为采购对象，进项税额抵扣较多，税负轻; 而选择小规模纳税人作为采购对象，进项税额只能按3%抵扣，或者进项税不能抵扣，税负重。但现实当中小规模纳税人为了生存必然降低销售价格，使其销售价格低于一般纳税人的销售价格，进而来吸引采购商。此时，选择一般纳税人作为采购对象未必是最佳的选择。</w:t>
      </w:r>
    </w:p>
    <w:p>
      <w:pPr>
        <w:ind w:left="0" w:right="0" w:firstLine="560"/>
        <w:spacing w:before="450" w:after="450" w:line="312" w:lineRule="auto"/>
      </w:pPr>
      <w:r>
        <w:rPr>
          <w:rFonts w:ascii="宋体" w:hAnsi="宋体" w:eastAsia="宋体" w:cs="宋体"/>
          <w:color w:val="000"/>
          <w:sz w:val="28"/>
          <w:szCs w:val="28"/>
        </w:rPr>
        <w:t xml:space="preserve">因此，如何选择采购对象应该以收益最大化为目标。营改增从2012 年试点以来，增值税劳务范围在不断扩大，部分行业税负短期有所加重，有些行业税负略有降低，为了顺利推进营改增税制改革，国家层面也陆续出台了一些过渡性的财政扶持措施，以此来减缓此项改革给企业带来的较大税负波动。作为企业自身一方面要结合当前的营改增税收政策灵活运用税收筹划方法，另一方面也要充分利用好国家给予的过渡性财政扶持政策，在合理、合法的范围内有效减轻企业税负，降低税收风险。除此之外，营改增企业由营业税纳税人转变为增值税纳税人，这些企业的增值税被纳入到抵扣链条之中，因此，加强营改增企业的税票管理、注意进项税额的认证抵扣时间、纳税申报期限和纳税期限等方面的关注度是非常必要的，这些是企业税收筹划能否实现的重要条件。为此，营改增企业需要加强财务人员的培训，让其尽快、全面、系统地掌握增值税纳税的相关政策及规定，为企业进行税务筹划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2025-05-02T05:07:34+08:00</dcterms:created>
  <dcterms:modified xsi:type="dcterms:W3CDTF">2025-05-02T05:07:34+08:00</dcterms:modified>
</cp:coreProperties>
</file>

<file path=docProps/custom.xml><?xml version="1.0" encoding="utf-8"?>
<Properties xmlns="http://schemas.openxmlformats.org/officeDocument/2006/custom-properties" xmlns:vt="http://schemas.openxmlformats.org/officeDocument/2006/docPropsVTypes"/>
</file>