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中部地区服务贸易发展的现状及策略</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 实施中部地区崛起战略，是党中央、国...</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2005～2009年，我国服务贸易进出口总额从1571亿美元增长到2868亿美元，增长了约1.8倍，年均增长16.2%。但是，我国服务贸易总体仍落后于货物贸易，服务出口额占对外贸易总出口的比重维持在9%左右，低于全球平均水平。2009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2006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2009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2009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2009年，湖北入境旅游人数由2006年的105.57万人次增长到133.46万人次，国际旅游外汇收入由2006年的3.2亿美元增长到5.1亿美元;湖南入境旅游人数由2006年的97.08万人次增长到130.87万人次，国际旅游外汇收入由2006年的5.03亿美元增长到6.73亿美元;河南入境旅游人数由2006年的75.74万人次增长到126万人次，国际旅游外汇收入增长到4.3亿美元;安徽入境旅游人数由2006年的80.4万人次增长到156.2万人次，国际旅游外汇收入由2006年的3亿美元增长到6.6亿美元;江西入境旅游人数由2006年的49.7万人次增长到106.8万人次，国际旅游外汇收入由2006年的1.39亿美元增长到2.9亿美元;山西入境旅游人数由2006年的57.4万人次增长到106.8万人次，国际旅游外汇收入由2006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2006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2009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2009年湖南省服务外包合同执行额仍逆势增长1.8倍;2010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[1]张松涛。呼唤临时协调机制促进我国国际服务贸易发展的若干思考[J]。国际贸易，2001，(11)。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[3]许晶。吉林省服务贸易发展的比较优势分析[J]。经济视角，2010,(01)。</w:t>
      </w:r>
    </w:p>
    <w:p>
      <w:pPr>
        <w:ind w:left="0" w:right="0" w:firstLine="560"/>
        <w:spacing w:before="450" w:after="450" w:line="312" w:lineRule="auto"/>
      </w:pPr>
      <w:r>
        <w:rPr>
          <w:rFonts w:ascii="宋体" w:hAnsi="宋体" w:eastAsia="宋体" w:cs="宋体"/>
          <w:color w:val="000"/>
          <w:sz w:val="28"/>
          <w:szCs w:val="28"/>
        </w:rPr>
        <w:t xml:space="preserve">以上这部《中部地区服务贸易发展的现状及策略》希望能帮到你，愿各位同学能写出优秀的论文。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2025-05-25T09:00:22+08:00</dcterms:created>
  <dcterms:modified xsi:type="dcterms:W3CDTF">2025-05-25T09:00:22+08:00</dcterms:modified>
</cp:coreProperties>
</file>

<file path=docProps/custom.xml><?xml version="1.0" encoding="utf-8"?>
<Properties xmlns="http://schemas.openxmlformats.org/officeDocument/2006/custom-properties" xmlns:vt="http://schemas.openxmlformats.org/officeDocument/2006/docPropsVTypes"/>
</file>