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财政政策与货币政策协调配合的思路与对策</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 当前我国已步入经济发展的新阶段。为保持宏观经济平稳运行，财政政策和货币政策既要根据经济形势的需求致力于各自目标的实现，又要注重协同配合，形成政策合力，更好地服务于经济发展。 首先，财政政策与货币政策的选择和组合必须适应经济形势发展需要，...</w:t>
      </w:r>
    </w:p>
    <w:p>
      <w:pPr>
        <w:ind w:left="0" w:right="0" w:firstLine="560"/>
        <w:spacing w:before="450" w:after="450" w:line="312" w:lineRule="auto"/>
      </w:pPr>
      <w:r>
        <w:rPr>
          <w:rFonts w:ascii="宋体" w:hAnsi="宋体" w:eastAsia="宋体" w:cs="宋体"/>
          <w:color w:val="000"/>
          <w:sz w:val="28"/>
          <w:szCs w:val="28"/>
        </w:rPr>
        <w:t xml:space="preserve">\" 当前我国已步入经济发展的新阶段。为保持宏观经济平稳运行，财政政策和货币政策既要根据经济形势的需求致力于各自目标的实现，又要注重协同配合，形成政策合力，更好地服务于经济发展。</w:t>
      </w:r>
    </w:p>
    <w:p>
      <w:pPr>
        <w:ind w:left="0" w:right="0" w:firstLine="560"/>
        <w:spacing w:before="450" w:after="450" w:line="312" w:lineRule="auto"/>
      </w:pPr>
      <w:r>
        <w:rPr>
          <w:rFonts w:ascii="宋体" w:hAnsi="宋体" w:eastAsia="宋体" w:cs="宋体"/>
          <w:color w:val="000"/>
          <w:sz w:val="28"/>
          <w:szCs w:val="28"/>
        </w:rPr>
        <w:t xml:space="preserve">首先，财政政策与货币政策的选择和组合必须适应经济形势发展需要，根据宏观调控目标、国民经济运行状况和经济管理体制的特征来选择恰当的政策、措施和合理的搭配方式。</w:t>
      </w:r>
    </w:p>
    <w:p>
      <w:pPr>
        <w:ind w:left="0" w:right="0" w:firstLine="560"/>
        <w:spacing w:before="450" w:after="450" w:line="312" w:lineRule="auto"/>
      </w:pPr>
      <w:r>
        <w:rPr>
          <w:rFonts w:ascii="宋体" w:hAnsi="宋体" w:eastAsia="宋体" w:cs="宋体"/>
          <w:color w:val="000"/>
          <w:sz w:val="28"/>
          <w:szCs w:val="28"/>
        </w:rPr>
        <w:t xml:space="preserve">其次，两大政策的配合与实施要根据我国经济发展的周期性波动，进行反周期调节。从改革开放以来财政政策与货币政策组合轨迹来看，我国两大政策的调节趋向于周期性使用（见下表），对宏观调控的效果向好，经济增长的波动幅度减小。</w:t>
      </w:r>
    </w:p>
    <w:p>
      <w:pPr>
        <w:ind w:left="0" w:right="0" w:firstLine="560"/>
        <w:spacing w:before="450" w:after="450" w:line="312" w:lineRule="auto"/>
      </w:pPr>
      <w:r>
        <w:rPr>
          <w:rFonts w:ascii="宋体" w:hAnsi="宋体" w:eastAsia="宋体" w:cs="宋体"/>
          <w:color w:val="000"/>
          <w:sz w:val="28"/>
          <w:szCs w:val="28"/>
        </w:rPr>
        <w:t xml:space="preserve">改革开放以来财政政策与货币政策组合轨迹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所属阶段</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搭配方式</w:t>
      </w:r>
    </w:p>
    <w:p>
      <w:pPr>
        <w:ind w:left="0" w:right="0" w:firstLine="560"/>
        <w:spacing w:before="450" w:after="450" w:line="312" w:lineRule="auto"/>
      </w:pPr>
      <w:r>
        <w:rPr>
          <w:rFonts w:ascii="宋体" w:hAnsi="宋体" w:eastAsia="宋体" w:cs="宋体"/>
          <w:color w:val="000"/>
          <w:sz w:val="28"/>
          <w:szCs w:val="28"/>
        </w:rPr>
        <w:t xml:space="preserve">实施年限</w:t>
      </w:r>
    </w:p>
    <w:p>
      <w:pPr>
        <w:ind w:left="0" w:right="0" w:firstLine="560"/>
        <w:spacing w:before="450" w:after="450" w:line="312" w:lineRule="auto"/>
      </w:pPr>
      <w:r>
        <w:rPr>
          <w:rFonts w:ascii="宋体" w:hAnsi="宋体" w:eastAsia="宋体" w:cs="宋体"/>
          <w:color w:val="000"/>
          <w:sz w:val="28"/>
          <w:szCs w:val="28"/>
        </w:rPr>
        <w:t xml:space="preserve">1979—1980年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紧松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1982—1984年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1986—1988年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1989—1991年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1992—1993年中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1993年中一1997</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1998—2002年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松(积极)</w:t>
      </w:r>
    </w:p>
    <w:p>
      <w:pPr>
        <w:ind w:left="0" w:right="0" w:firstLine="560"/>
        <w:spacing w:before="450" w:after="450" w:line="312" w:lineRule="auto"/>
      </w:pPr>
      <w:r>
        <w:rPr>
          <w:rFonts w:ascii="宋体" w:hAnsi="宋体" w:eastAsia="宋体" w:cs="宋体"/>
          <w:color w:val="000"/>
          <w:sz w:val="28"/>
          <w:szCs w:val="28"/>
        </w:rPr>
        <w:t xml:space="preserve">松(稳健)</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2003—2004年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积极淡出</w:t>
      </w:r>
    </w:p>
    <w:p>
      <w:pPr>
        <w:ind w:left="0" w:right="0" w:firstLine="560"/>
        <w:spacing w:before="450" w:after="450" w:line="312" w:lineRule="auto"/>
      </w:pPr>
      <w:r>
        <w:rPr>
          <w:rFonts w:ascii="宋体" w:hAnsi="宋体" w:eastAsia="宋体" w:cs="宋体"/>
          <w:color w:val="000"/>
          <w:sz w:val="28"/>
          <w:szCs w:val="28"/>
        </w:rPr>
        <w:t xml:space="preserve">稳健趋紧</w:t>
      </w:r>
    </w:p>
    <w:p>
      <w:pPr>
        <w:ind w:left="0" w:right="0" w:firstLine="560"/>
        <w:spacing w:before="450" w:after="450" w:line="312" w:lineRule="auto"/>
      </w:pPr>
      <w:r>
        <w:rPr>
          <w:rFonts w:ascii="宋体" w:hAnsi="宋体" w:eastAsia="宋体" w:cs="宋体"/>
          <w:color w:val="000"/>
          <w:sz w:val="28"/>
          <w:szCs w:val="28"/>
        </w:rPr>
        <w:t xml:space="preserve">偏松和趋紧</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2006—2010年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两大政策相机抉择的时机已经成熟。在经历了5年双紧周期和5年双松周期后，目前我国正过渡到一个新的经济周期。积极财政政策与稳健货币政策已实施了近6年，我国过去历史上双松政策最长就是这次宏观调控，但在新形势下不可能继续保持和沿用下去，积极财政政策和稳健货币政策确实到了该调整的时期。</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是我国宏观调控面临的难题之一，新时期需要有新的政策选择。这里可以设想三种思路：一是继续实施积极财政政策和适度从紧的稳健货币政策，但其政策内涵应根据经济形势变化进行适当调整；二是中性偏紧的财政政策与中性偏松的货币政策配合；三是中性偏紧的财政政策与中性偏紧的货币政策配合。这三种思路各有道理，我们倾向于采取中性偏紧的财政政策和中性偏紧的货币政策搭配。</w:t>
      </w:r>
    </w:p>
    <w:p>
      <w:pPr>
        <w:ind w:left="0" w:right="0" w:firstLine="560"/>
        <w:spacing w:before="450" w:after="450" w:line="312" w:lineRule="auto"/>
      </w:pPr>
      <w:r>
        <w:rPr>
          <w:rFonts w:ascii="宋体" w:hAnsi="宋体" w:eastAsia="宋体" w:cs="宋体"/>
          <w:color w:val="000"/>
          <w:sz w:val="28"/>
          <w:szCs w:val="28"/>
        </w:rPr>
        <w:t xml:space="preserve">不赞成继续实施积极财政政策和稳健货币政策的原因是：这种政策搭配是在特定历史阶段、特定宏观经济背景下采取的具有特定内涵的经济政策，现在我国经济形势已发生实质性变化，不宜延续下去。</w:t>
      </w:r>
    </w:p>
    <w:p>
      <w:pPr>
        <w:ind w:left="0" w:right="0" w:firstLine="560"/>
        <w:spacing w:before="450" w:after="450" w:line="312" w:lineRule="auto"/>
      </w:pPr>
      <w:r>
        <w:rPr>
          <w:rFonts w:ascii="宋体" w:hAnsi="宋体" w:eastAsia="宋体" w:cs="宋体"/>
          <w:color w:val="000"/>
          <w:sz w:val="28"/>
          <w:szCs w:val="28"/>
        </w:rPr>
        <w:t xml:space="preserve">不赞成选择中性偏松的货币政策的理由是：当前我国面临的经济形势和需要关注的主要倾向趋势是通货膨胀而非通货紧缩，促使粗放型经济增长方式转变为集约型经济增长方式，是需要致力于提高资金运用效率，因此货币政策宜中性偏紧，不宜中性偏松。</w:t>
      </w:r>
    </w:p>
    <w:p>
      <w:pPr>
        <w:ind w:left="0" w:right="0" w:firstLine="560"/>
        <w:spacing w:before="450" w:after="450" w:line="312" w:lineRule="auto"/>
      </w:pPr>
      <w:r>
        <w:rPr>
          <w:rFonts w:ascii="宋体" w:hAnsi="宋体" w:eastAsia="宋体" w:cs="宋体"/>
          <w:color w:val="000"/>
          <w:sz w:val="28"/>
          <w:szCs w:val="28"/>
        </w:rPr>
        <w:t xml:space="preserve">财政政策的取向应当是中性偏紧，其具体含义就是要贯彻勤俭建国、量入为出的原则降低国债发行规模，逐步降低赤字率，缩减隐性债务，调整支出结构。将增发国债的收入由过去主要用于重点建设项目扩展到几个方面，如完成在建工程的后续投入，填补以公共卫生为代表的公共项目欠账，启动拟议进行或亟待进行但主要由于资金制约未能启动的改革事项等。未来国债投资项目不应再安排银行配套贷款，使其成为纯粹的公共财政支出，以避免新的金融风险。</w:t>
      </w:r>
    </w:p>
    <w:p>
      <w:pPr>
        <w:ind w:left="0" w:right="0" w:firstLine="560"/>
        <w:spacing w:before="450" w:after="450" w:line="312" w:lineRule="auto"/>
      </w:pPr>
      <w:r>
        <w:rPr>
          <w:rFonts w:ascii="宋体" w:hAnsi="宋体" w:eastAsia="宋体" w:cs="宋体"/>
          <w:color w:val="000"/>
          <w:sz w:val="28"/>
          <w:szCs w:val="28"/>
        </w:rPr>
        <w:t xml:space="preserve">货币政策的趋向也应当是中性偏紧，其具体含义就是在当前稳健货币政策适度从紧的调控措施基本到位的基础上，既不扩张也不紧缩，根据经济发展形势需要适度偏紧，货币供应量增长率不高于GDP增长率与通货膨胀率之和，控制信贷规模，重点是加快资金周转，提高资金使用效益，优化信贷结构，防止通货膨胀，保证国民经济全面协调可持续发展。</w:t>
      </w:r>
    </w:p>
    <w:p>
      <w:pPr>
        <w:ind w:left="0" w:right="0" w:firstLine="560"/>
        <w:spacing w:before="450" w:after="450" w:line="312" w:lineRule="auto"/>
      </w:pPr>
      <w:r>
        <w:rPr>
          <w:rFonts w:ascii="宋体" w:hAnsi="宋体" w:eastAsia="宋体" w:cs="宋体"/>
          <w:color w:val="000"/>
          <w:sz w:val="28"/>
          <w:szCs w:val="28"/>
        </w:rPr>
        <w:t xml:space="preserve">具体的对策建议是：</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国家规划明确的宏观调控目标和总体要求，是制定财政政策和货币政策的主要依据。要通过国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当前我国宏观经济运行中结构问题甚于总量问题，经济结构不合理造成局部需求过高和局部供给不足成为主要矛盾，必须重视财政政策、货币政策与其他经济政策的协调。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发展改革委要定期发布和适时调整相关产业政策；人民银行和银行监管部门要配合提出加强和改进信贷管理、优化信贷结构的政策措施，为商业银行适时调整信贷投向提供支持；商业银行要严格按照产业政策和信贷政策发放贷款。为解决投资需求和消费需求增长不平衡现象，要重视通过调整收入分配政策刺激消费需求增长。要加快进行政府行政管理体制改革，从根本上抑制由地方政府推动的某些行业和地区出现的投资热。只有各项经济政策协调配合，我国经济才能步入自主增长的良性循环。</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共投资领域发挥作用，创造社会公平、实现经济社会可持续发展。要建立健全与市场经济新体制相配套的分税分级财政框架。重点要对省以下体制灌注分税分级体制的实质性内容，建立三级分税分级财政。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今后应使利率成为货币政策调控的先行工具，存款准备金率操作影响大，以少动为好。</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新形势下一项非常紧迫的战略任务，是既要抵御低水平重复投资，又要继续支持基础设施建设投资、加快经济结构调整和技术进步。为避免传统“松散乱”局面，化解和根治“先乱干、后整治”的国家隐含担保机制，财政政策和货币政策的安排要建立投资信息透明化、投资来源市场化、投资管理法制化的操作平台。在投融资体制改革中，要明确财政投融资与商业银行投融资的界限，既提高财政投融资的投资效益，又保障货币政策免受政策性金融业务的冲击。要规范、强化、整合债券市场，切断隐性\" 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为解决财政部发行短期国债缺少动力、而央行公开市场操作缺乏短期国债作为操作工具的矛盾，短期国债可不列入当年国债发行计划，财政账户出现临时性头寸不足时，财政部可发行短期国债用于周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2025-06-08T01:33:45+08:00</dcterms:created>
  <dcterms:modified xsi:type="dcterms:W3CDTF">2025-06-08T01:33:45+08:00</dcterms:modified>
</cp:coreProperties>
</file>

<file path=docProps/custom.xml><?xml version="1.0" encoding="utf-8"?>
<Properties xmlns="http://schemas.openxmlformats.org/officeDocument/2006/custom-properties" xmlns:vt="http://schemas.openxmlformats.org/officeDocument/2006/docPropsVTypes"/>
</file>