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关于医生进修内科自我鉴定总结【三篇】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以下是为大家整理的关于医生进修内科自我鉴定总结的文章3篇 ,欢迎品鉴！【篇1】医生进修内科自我鉴定总结　　美好的时光总让人感觉如此短暂，10个月的进修生活即将结束，总有些许不舍...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以下是为大家整理的关于医生进修内科自我鉴定总结的文章3篇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【篇1】医生进修内科自我鉴定总结</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【篇2】医生进修内科自我鉴定总结</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黑体" w:hAnsi="黑体" w:eastAsia="黑体" w:cs="黑体"/>
          <w:color w:val="000000"/>
          <w:sz w:val="36"/>
          <w:szCs w:val="36"/>
          <w:b w:val="1"/>
          <w:bCs w:val="1"/>
        </w:rPr>
        <w:t xml:space="preserve">【篇3】医生进修内科自我鉴定总结</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2025-06-17T13:45:12+08:00</dcterms:created>
  <dcterms:modified xsi:type="dcterms:W3CDTF">2025-06-17T13:45:12+08:00</dcterms:modified>
</cp:coreProperties>
</file>

<file path=docProps/custom.xml><?xml version="1.0" encoding="utf-8"?>
<Properties xmlns="http://schemas.openxmlformats.org/officeDocument/2006/custom-properties" xmlns:vt="http://schemas.openxmlformats.org/officeDocument/2006/docPropsVTypes"/>
</file>