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主题年轻干部违纪违法心得总结</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主题年轻干部违纪违法心得总结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培养工作...</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主题年轻干部违纪违法心得总结二</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主题年轻干部违纪违法心得总结三</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主题年轻干部违纪违法心得总结四</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主题年轻干部违纪违法心得总结五</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主题年轻干部违纪违法心得总结八</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-2025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