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公司税务基础工作总结(实用44篇)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税务基础工作总结1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万元;(其中增值税万元、企业所得税万元), 代收个人利息所得税万元.较去年比增长万元,(其中:增值税增长万元,企业所得税增长万元),代收利息税增长万元,全面超额完成了县局下达的各项税收任务.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公司税务基础工作总结2</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公司税务基础工作总结3</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公司税务基础工作总结4</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公司税务基础工作总结5</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x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x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公司税务基础工作总结6</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v^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公司税务基础工作总结7</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公司税务基础工作总结8</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公司税务基础工作总结9</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公司税务基础工作总结10</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公司税务基础工作总结11</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公司税务基础工作总结12</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公司税务基础工作总结13</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v^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公司税务基础工作总结14</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公司税务基础工作总结15</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v^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公司税务基础工作总结16</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公司税务基础工作总结17</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公司税务基础工作总结18</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公司税务基础工作总结19</w:t>
      </w:r>
    </w:p>
    <w:p>
      <w:pPr>
        <w:ind w:left="0" w:right="0" w:firstLine="560"/>
        <w:spacing w:before="450" w:after="450" w:line="312" w:lineRule="auto"/>
      </w:pPr>
      <w:r>
        <w:rPr>
          <w:rFonts w:ascii="宋体" w:hAnsi="宋体" w:eastAsia="宋体" w:cs="宋体"/>
          <w:color w:val="000"/>
          <w:sz w:val="28"/>
          <w:szCs w:val="28"/>
        </w:rPr>
        <w:t xml:space="preserve">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v^建设有中国特色的社会主义理论，党的十九届三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 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