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公司案件管理情况工作总结(精选4篇)</w:t>
      </w:r>
      <w:bookmarkEnd w:id="1"/>
    </w:p>
    <w:p>
      <w:pPr>
        <w:jc w:val="center"/>
        <w:spacing w:before="0" w:after="450"/>
      </w:pPr>
      <w:r>
        <w:rPr>
          <w:rFonts w:ascii="Arial" w:hAnsi="Arial" w:eastAsia="Arial" w:cs="Arial"/>
          <w:color w:val="999999"/>
          <w:sz w:val="20"/>
          <w:szCs w:val="20"/>
        </w:rPr>
        <w:t xml:space="preserve">来源：网络  作者：平静如水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公司案件管理情况工作总结120xx年xxxx纪委案件管理工作在xxxx纪委监察局的正确领导及市纪委案管室的指导下，严格按照“依法依纪办案、安全办案、规范办案工作程序”的具体要求，强化对办案工作的监督和管理，履行案件管理五项职能，进一步完善案...</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公司案件管理情况工作总结1</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公司案件管理情况工作总结2</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公司案件管理情况工作总结3</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&gt;三、案件管理相关制度建设情况</w:t>
      </w:r>
    </w:p>
    <w:p>
      <w:pPr>
        <w:ind w:left="0" w:right="0" w:firstLine="560"/>
        <w:spacing w:before="450" w:after="450" w:line="312" w:lineRule="auto"/>
      </w:pPr>
      <w:r>
        <w:rPr>
          <w:rFonts w:ascii="宋体" w:hAnsi="宋体" w:eastAsia="宋体" w:cs="宋体"/>
          <w:color w:val="000"/>
          <w:sz w:val="28"/>
          <w:szCs w:val="28"/>
        </w:rPr>
        <w:t xml:space="preserve">为确保案件管理工作的安全性和保密性，我县高度重视案件管理工作，明确办公室一名干部专门负责案件管理工作和一台案件管理专用计算机，实现了专人、专机、专用，制定了《计算机及网络安全管理规定》，并与乡镇纪委、部门纪检组及委局各科室签订了保密工作责任书。同时我县还结合本地实际情况，制定了《关于严格报送案件统计表制度》，这些规章制度的建立和完善为我县案件管理工作走上规范化、制度化奠定了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公司案件管理情况工作总结4</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xxxx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xx的耐心教导下，在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2025-06-17T04:13:32+08:00</dcterms:created>
  <dcterms:modified xsi:type="dcterms:W3CDTF">2025-06-17T04:13:32+08:00</dcterms:modified>
</cp:coreProperties>
</file>

<file path=docProps/custom.xml><?xml version="1.0" encoding="utf-8"?>
<Properties xmlns="http://schemas.openxmlformats.org/officeDocument/2006/custom-properties" xmlns:vt="http://schemas.openxmlformats.org/officeDocument/2006/docPropsVTypes"/>
</file>