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最新购房车库买卖合同 车位车库买卖合同(优秀二十篇)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购房车库买卖合同 车位车库买卖合同一电话：乙方：电话：根据《民法典》、《中华人民共和国____市房地产管理法》、《中华人民共和国拍卖法》、《中华人民共和国道路交通安全法》及有关法律、法规规定，甲、乙双方在平等、自愿的基础上，就买卖车库达成如...</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车位车库买卖合同篇十八</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车位车库买卖合同篇十九</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车位车库买卖合同篇二十</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