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商品供货合同(21篇)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商品供货合同一供应商编码：适用区域：甲方：(需方)北京居泰隆科贸有限公司 签订时间：乙方：(供方) 签订地点：甲、乙双方本着平等、互利的原则，依据国家有关法律法规，经友好协商达成如下协议：一、乙方向甲方提供下列产品：品牌： 系列编号：备注：...</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商品供货合同一</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甲方：北京居泰隆科贸有限公司 乙方：</w:t>
      </w:r>
    </w:p>
    <w:p>
      <w:pPr>
        <w:ind w:left="0" w:right="0" w:firstLine="560"/>
        <w:spacing w:before="450" w:after="450" w:line="312" w:lineRule="auto"/>
      </w:pPr>
      <w:r>
        <w:rPr>
          <w:rFonts w:ascii="宋体" w:hAnsi="宋体" w:eastAsia="宋体" w:cs="宋体"/>
          <w:color w:val="000"/>
          <w:sz w:val="28"/>
          <w:szCs w:val="28"/>
        </w:rPr>
        <w:t xml:space="preserve">地址：北京海淀区西四环中路 地址：9号万地名苑1号楼901室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商品供货合同二</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1.双方应严格遵守以上合同条款，如合作中遇未尽事宜，须经双方友好协商达成一致，并以书面形式经双方签字作为本合同附属文件，该附属文件与合同具有同等法律效应。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商品供货合同篇十一</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储汇局下属的业务服务网点（简称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代办营业机构代收后汇入担保人和卖方指定的账户，______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______________联系方式如下：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______________％货款交纳给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买方若对所购货物的质量提出异议，应向卖方提交相关索赔文件，包括：索赔书，瑞士x集团下属的xx公司（-cstc）出具的相关商品质量检测报告。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__________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买卖双方在本合同执行过程中如有争议，双方友好协商解决；如争议无法协商解决，则由______________仲裁委员会在______________进行仲裁。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（2）如买方支付的货款在本合同签订之日起______________个工作日内没有存入代办营业机构指定的账户，本合同自动失效。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字数：3331字</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10.00元(低于20m3砼不泵送)，10-30公里之间每公里每立方单价在原价基础上增加0.65元，30公里以上每公里每立方单价在原价基础上增加0.55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0.00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2025-05-18T02:23:39+08:00</dcterms:created>
  <dcterms:modified xsi:type="dcterms:W3CDTF">2025-05-18T02:23:39+08:00</dcterms:modified>
</cp:coreProperties>
</file>

<file path=docProps/custom.xml><?xml version="1.0" encoding="utf-8"?>
<Properties xmlns="http://schemas.openxmlformats.org/officeDocument/2006/custom-properties" xmlns:vt="http://schemas.openxmlformats.org/officeDocument/2006/docPropsVTypes"/>
</file>